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6C8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№ </w:t>
      </w:r>
    </w:p>
    <w:p w:rsidR="00000000" w:rsidRDefault="000C56C8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оказании услуг по обеспечению заправки авиационным топливом воздушных судов</w:t>
      </w:r>
    </w:p>
    <w:p w:rsidR="00000000" w:rsidRDefault="000C56C8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Ижевск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3F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 ____20__г.</w:t>
            </w:r>
            <w:r w:rsidR="000C56C8">
              <w:rPr>
                <w:sz w:val="22"/>
                <w:szCs w:val="22"/>
              </w:rPr>
              <w:t xml:space="preserve">. </w:t>
            </w: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ООО «Топливно-заправочный комплекс «Крылатский»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«Исполнитель»</w:t>
      </w:r>
      <w:r>
        <w:rPr>
          <w:sz w:val="22"/>
          <w:szCs w:val="22"/>
        </w:rPr>
        <w:t xml:space="preserve">, в лице Генерального директора Сентемова Сергея Владимировича, действующего на основании Устава, с одной стороны </w:t>
      </w:r>
    </w:p>
    <w:p w:rsidR="00000000" w:rsidRDefault="006B3F6B">
      <w:pPr>
        <w:widowControl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</w:t>
      </w:r>
      <w:r w:rsidR="000C56C8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_____________________________</w:t>
      </w:r>
      <w:r w:rsidR="000C56C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</w:t>
      </w:r>
      <w:r w:rsidR="000C56C8">
        <w:rPr>
          <w:sz w:val="22"/>
          <w:szCs w:val="22"/>
        </w:rPr>
        <w:t xml:space="preserve">, с другой стороны, вместе именуемые Стороны и каждая в отдельности - Сторона, заключили настоящий договор (далее - Договор) о нижеследующем: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ТЕРМИНОЛОГИЯ ДОГОВОРА: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Услуга</w:t>
      </w:r>
      <w:r>
        <w:rPr>
          <w:sz w:val="22"/>
          <w:szCs w:val="22"/>
        </w:rPr>
        <w:t xml:space="preserve"> – комплекс мероприятий, предусматривающий обеспечение заправки воздушных судов авиационным топливом, как в чистом виде, так и в смеси с противодокристаллизационными присадками, осуществление контроля качественных и количестве</w:t>
      </w:r>
      <w:r>
        <w:rPr>
          <w:sz w:val="22"/>
          <w:szCs w:val="22"/>
        </w:rPr>
        <w:t xml:space="preserve">нных характеристик Авиатоплива.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Авиатопливо</w:t>
      </w:r>
      <w:r>
        <w:rPr>
          <w:sz w:val="22"/>
          <w:szCs w:val="22"/>
        </w:rPr>
        <w:t xml:space="preserve"> – авиационное топливо для реактивных двигателей, соответствующее ГОСТ 10227-86 «Топлива для реактивных двигателей» (с изм. и доп.).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Эксплуатант</w:t>
      </w:r>
      <w:r>
        <w:rPr>
          <w:sz w:val="22"/>
          <w:szCs w:val="22"/>
        </w:rPr>
        <w:t xml:space="preserve"> – перевозчик или иное лицо, осуществляющее эксплуатацию воздушных </w:t>
      </w:r>
      <w:r>
        <w:rPr>
          <w:sz w:val="22"/>
          <w:szCs w:val="22"/>
        </w:rPr>
        <w:t xml:space="preserve">судов и имеющее соглашение на авиатопливообеспечение с Заказчиком.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ВС</w:t>
      </w:r>
      <w:r>
        <w:rPr>
          <w:sz w:val="22"/>
          <w:szCs w:val="22"/>
        </w:rPr>
        <w:t xml:space="preserve"> - воздушные суда Эксплуатантов, обслуживаемые в аэропорту «Ижевск».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Слив Авиатоплива из систем ВС</w:t>
      </w:r>
      <w:r>
        <w:rPr>
          <w:sz w:val="22"/>
          <w:szCs w:val="22"/>
        </w:rPr>
        <w:t xml:space="preserve"> - комплекс мероприятий, предусматривающий обеспечение слива Авиатоплива из систем ВС в</w:t>
      </w:r>
      <w:r>
        <w:rPr>
          <w:sz w:val="22"/>
          <w:szCs w:val="22"/>
        </w:rPr>
        <w:t xml:space="preserve"> отдельный авиатопливозаправщик, выполняемый по отдельной заявке Заказчика. Выполняется с использованием  средств заправки, принадлежащих Исполнителю на праве собственности или ином законном владении,  персоналом Исполнителя, имеющим соответствующую квалиф</w:t>
      </w:r>
      <w:r>
        <w:rPr>
          <w:sz w:val="22"/>
          <w:szCs w:val="22"/>
        </w:rPr>
        <w:t xml:space="preserve">икацию.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Отчетный период (месяц)</w:t>
      </w:r>
      <w:r>
        <w:rPr>
          <w:sz w:val="22"/>
          <w:szCs w:val="22"/>
        </w:rPr>
        <w:t xml:space="preserve"> - текущий календарный месяц, в котором оказываются Услуги по Договору.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1. ПРЕДМЕТ ДОГОВОРА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Исполнитель оказывает Услугу по обеспечению заправки авиационным топливом в воздушные суда Экс</w:t>
      </w:r>
      <w:r>
        <w:rPr>
          <w:sz w:val="22"/>
          <w:szCs w:val="22"/>
        </w:rPr>
        <w:t xml:space="preserve">плуатантов, указанных в Договоре и/или заявке Заказчика, выполняющих полеты в/из/через аэропорт «Ижевск»: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1.1.1. заправка ВС Авиатопливом;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1.1.2. предоставление персонала (включая инженерно-авиационный) и технических передвижных средств для заправк</w:t>
      </w:r>
      <w:r>
        <w:rPr>
          <w:sz w:val="22"/>
          <w:szCs w:val="22"/>
        </w:rPr>
        <w:t xml:space="preserve">и ВС;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1.1.3. аэродромный контроль качества Авиатоплива;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1.1.4. слив Авиатоплива из систем ВС;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1.1.5. иные услуги, выполняемые по заявкам Заказчика либо осуществляемые в соответствии с требованиями воздушного законодательства РФ и технологией ав</w:t>
      </w:r>
      <w:r>
        <w:rPr>
          <w:sz w:val="22"/>
          <w:szCs w:val="22"/>
        </w:rPr>
        <w:t xml:space="preserve">иаполивообеспечения Исполнителя, а Заказчик обязуется оплачивать Исполнителю оказываемые услуги в порядке и на условиях, установленных Договором.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1.2. Договор заключается в порядке, установленном Правилами обеспечения доступа к услугам субъектов естествен</w:t>
      </w:r>
      <w:r>
        <w:rPr>
          <w:sz w:val="22"/>
          <w:szCs w:val="22"/>
        </w:rPr>
        <w:t>ных монополий, утв. Постановлением Правительства от 22.07.2009 г. № 599 «О порядке обеспечения доступа к услугам субъектов естественных монополий в аэропортах» (далее - Постановление № 599), на основании и в соответствии с условиями представленной Заказчик</w:t>
      </w:r>
      <w:r>
        <w:rPr>
          <w:sz w:val="22"/>
          <w:szCs w:val="22"/>
        </w:rPr>
        <w:t xml:space="preserve">ом заявки (Далее по тексту - Заявка).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Стороны при осуществлении своих прав и исполнении обязанностей в соответствии с Договором руководствуются действующим Российским законодательством, включая, но не ограничиваясь: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1.3.1. Правилами обеспечения д</w:t>
      </w:r>
      <w:r>
        <w:rPr>
          <w:sz w:val="22"/>
          <w:szCs w:val="22"/>
        </w:rPr>
        <w:t xml:space="preserve">оступа к услугам субъектов естественных монополий, утв. Постановлением Правительства от 22.07.2009 г. № 599 «О порядке обеспечения доступа к услугам субъектов естественных монополий в аэропортах»;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1.3.2. ФАП «Сертификационные требования к организациям </w:t>
      </w:r>
      <w:r>
        <w:rPr>
          <w:sz w:val="22"/>
          <w:szCs w:val="22"/>
        </w:rPr>
        <w:t xml:space="preserve">авиатопливообеспечения воздушных перевозок», утв. Приказом ФСВТ России № 89 от 18.04.2000г.;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1.3.3. Наставлением ГСМ ГА-РФ-94;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1.3.4. Руководством по приему, хранению, подготовке к выдаче на заправку, контролю качества авиатоплива и авиаГСМ, введен</w:t>
      </w:r>
      <w:r>
        <w:rPr>
          <w:sz w:val="22"/>
          <w:szCs w:val="22"/>
        </w:rPr>
        <w:t xml:space="preserve">ным в действие Приказом ДВТ Минтранса РСФСР № ДВ – 126 от 17.10.1992 г.;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1.3.5. Инструкцией о порядке ведения учета, отчетности и расходования горюче-смазочных материалов в гражданской авиации (утв. МГА СССР 28.06.1991);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1.3.6. Приказом Минтранса Р</w:t>
      </w:r>
      <w:r>
        <w:rPr>
          <w:sz w:val="22"/>
          <w:szCs w:val="22"/>
        </w:rPr>
        <w:t xml:space="preserve">оссии от 17.07.2012 №241 «Об аэронавигационных и аэропортовых сборах, тарифах за обслуживание воздушных судов в аэропортах и воздушном пространстве Российской Федерации» </w:t>
      </w:r>
      <w:r>
        <w:rPr>
          <w:sz w:val="22"/>
          <w:szCs w:val="22"/>
        </w:rPr>
        <w:lastRenderedPageBreak/>
        <w:t>(вместе с «Перечнем и правилами формирования тарифов и сборов за обслуживание воздушны</w:t>
      </w:r>
      <w:r>
        <w:rPr>
          <w:sz w:val="22"/>
          <w:szCs w:val="22"/>
        </w:rPr>
        <w:t xml:space="preserve">х судов в аэропортах и воздушном пространстве Российской Федерации», «Правилами взимания рассчитанной на основе тарифов и сборов платы за обслуживание воздушных судов в аэропортах и воздушном пространстве Российской Федерации»);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1.3.7. другими норматив</w:t>
      </w:r>
      <w:r>
        <w:rPr>
          <w:sz w:val="22"/>
          <w:szCs w:val="22"/>
        </w:rPr>
        <w:t xml:space="preserve">но-правовыми актами, регламентирующими правоотношения Сторон по Договору.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Место исполнения Договора – Удмуртская Республика, Завьяловский район, территория Аэропорт.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2. ПОРЯДОК ОКАЗАНИЯ УСЛУГ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Общие положения.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2.1.1. Качество Авиатоплива.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2.1.1.1. Качество Авиатоплива должно соответствовать требованиям документов, указанных в п.1.3.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2.1.1.2. Доказательством качества Авиатоплива является паспорт качества, выданный уполномоченной лаборатор</w:t>
      </w:r>
      <w:r>
        <w:rPr>
          <w:sz w:val="22"/>
          <w:szCs w:val="22"/>
        </w:rPr>
        <w:t xml:space="preserve">ией.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2.1.1.3. Пригодность к применению выдаваемого на заправку продукта подтверждается контрольным талоном.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2.1.1.4. Расследование причин потери качества при оказании Услуг осуществляется с участием всех заинтересованных лиц в соответствии с де</w:t>
      </w:r>
      <w:r>
        <w:rPr>
          <w:sz w:val="22"/>
          <w:szCs w:val="22"/>
        </w:rPr>
        <w:t xml:space="preserve">йствующим воздушным законодательством РФ.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2.1.2. Количество и учет Авиатоплива.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2.1.2.1. Показания поверенных в установленном порядке счетчиков-литромеров Исполнителя принимаются Сторонами как достоверное доказательство заправленного Авиатоплива.</w:t>
      </w:r>
      <w:r>
        <w:rPr>
          <w:sz w:val="22"/>
          <w:szCs w:val="22"/>
        </w:rPr>
        <w:t xml:space="preserve">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2.1.2.2. Эксплуатант оформляет сведения о количестве заправленного в ВС авиатоплива и авиаГСМ на бланке требования формы №1-ГСМ, с заполнением в нем всех указанных граф.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2.1.2.3. Учет заправленного в ВС Авиатоплива ведется в килограммах в соот</w:t>
      </w:r>
      <w:r>
        <w:rPr>
          <w:sz w:val="22"/>
          <w:szCs w:val="22"/>
        </w:rPr>
        <w:t>ветствии с количеством заправленного Авиатоплива и его плотности. Пересчет количества заправленного авиатоплива в килограммы производится путем умножения количества авиатоплива в литрах на плотность авиатоплива, указанную в контрольном талоне с округлением</w:t>
      </w:r>
      <w:r>
        <w:rPr>
          <w:sz w:val="22"/>
          <w:szCs w:val="22"/>
        </w:rPr>
        <w:t xml:space="preserve"> полученной массы до целого числа килограммов математическим способом по каждой заправке.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2.1.2.4. Исполнитель ежедневно направляет Заказчику посредством e-mail на адрес: __________________ реестр заправок за предшествующий день до 12.00 часов (по ме</w:t>
      </w:r>
      <w:r>
        <w:rPr>
          <w:sz w:val="22"/>
          <w:szCs w:val="22"/>
        </w:rPr>
        <w:t>стному времени – Мск+2) следующего дня, если такой день является выходным – не позднее 12.00 часов (по местному времени – Мск+2) следующего рабочего дня. Рабочие, выходные и праздничные дни определяются согласно Трудовому кодексу Российской Федерации и Пос</w:t>
      </w:r>
      <w:r>
        <w:rPr>
          <w:sz w:val="22"/>
          <w:szCs w:val="22"/>
        </w:rPr>
        <w:t xml:space="preserve">тановлению Правительства Российской Федерации о переносе выходных дней в соответствующем году.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2.1.3. Обеспечение качества Услуг.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2.1.3.1. Для оказания Услуг Исполнитель использует исправные технические средства заправки, соответствующие обязател</w:t>
      </w:r>
      <w:r>
        <w:rPr>
          <w:sz w:val="22"/>
          <w:szCs w:val="22"/>
        </w:rPr>
        <w:t xml:space="preserve">ьным требованиям, предусмотренным действующими нормативно-правовыми актами, регламентирующими деятельность в сфере организации авиатопливообеспечения, поверенные в установленном порядке средства измерения.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2.1.3.2. Сотрудники (персонал) Исполнителя д</w:t>
      </w:r>
      <w:r>
        <w:rPr>
          <w:sz w:val="22"/>
          <w:szCs w:val="22"/>
        </w:rPr>
        <w:t xml:space="preserve">олжны обладать необходимой квалификацией.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2.1.3.3. Исполнитель обеспечивает соблюдение правил противопожарной безопасности, санитарных норм, правил техники безопасности.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2.1.3.4. Заказчик обеспечивает Исполнителя актуальными Руководствами по ле</w:t>
      </w:r>
      <w:r>
        <w:rPr>
          <w:sz w:val="22"/>
          <w:szCs w:val="22"/>
        </w:rPr>
        <w:t xml:space="preserve">тной и технической эксплуатации конкретного типа ВС, которые Исполнитель обязуется соблюдать в части не противоречащей действующему законодательству РФ, руководства по качеству и технологии работы Исполнителя.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2.1.4. С целью оперативного взаимодействия</w:t>
      </w:r>
      <w:r>
        <w:rPr>
          <w:sz w:val="22"/>
          <w:szCs w:val="22"/>
        </w:rPr>
        <w:t xml:space="preserve"> по Договору Стороны назначают ответственных лиц (структуры):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от Исполнителя: Коротаев С.И., тел.: (3412) 905-100, e-mail: korotaev@komos.ru.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от Заказчика: _________________________________________________.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Вся переписка, в том числе </w:t>
      </w:r>
      <w:r>
        <w:rPr>
          <w:sz w:val="22"/>
          <w:szCs w:val="22"/>
        </w:rPr>
        <w:t xml:space="preserve">электронная, переговоры, осуществляемые между указанными сотрудниками, признаются как произведенные Сторонами.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Сторона, у которой произошли изменения сведений данного пункта, обязана незамедлительно известить об этом другую Сторону.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2.1.5. С цель</w:t>
      </w:r>
      <w:r>
        <w:rPr>
          <w:sz w:val="22"/>
          <w:szCs w:val="22"/>
        </w:rPr>
        <w:t xml:space="preserve">ю своевременного и качественного оказания Услуг Исполнитель вправе привлекать для исполнения Договора третьих лиц, неся при этом ответственность за их действия, как за свои собственные.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Планирование.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2.2.1. Заказчик с целью обеспечения своевремен</w:t>
      </w:r>
      <w:r>
        <w:rPr>
          <w:sz w:val="22"/>
          <w:szCs w:val="22"/>
        </w:rPr>
        <w:t xml:space="preserve">ной заправки ВС подает Исполнителю заявку (график):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при выполнении Эксплуатантом нерегулярных рейсов (полетов) не менее чем за 24 (двадцать четыре) до момента заправки,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- при выполнении регулярных рейсов должен быть указан объем Авиатоплива н</w:t>
      </w:r>
      <w:r>
        <w:rPr>
          <w:sz w:val="22"/>
          <w:szCs w:val="22"/>
        </w:rPr>
        <w:t>а календарный месяц – не менее чем за 5 (пять) рабочих дня до окончания месяца, предшествующего месяцу, в котором должна быть произведена заправка ВС Эксплуатанта, с указанием перечня Эксплуатантов, ВС которых должны быть оказаны Услуги, необходимого колич</w:t>
      </w:r>
      <w:r>
        <w:rPr>
          <w:sz w:val="22"/>
          <w:szCs w:val="22"/>
        </w:rPr>
        <w:t xml:space="preserve">ества Авиатоплива на полет, типа ВС, бортового номера, даты выполнения рейсов, частоты полетов.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отсутствии такой заявки за плановый объем заправки принимаются данные предшествующего месяца.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2.2.2. Исполнитель в течение 1 (одного) рабочего дня для регулярных рейсов, 12 часов - для нерегулярных рейсов утверждает предложенный Заказчиком график либо мотивированно отклоняет его. Во втором случае график подлежит повторному направлению с учетом п</w:t>
      </w:r>
      <w:r>
        <w:rPr>
          <w:sz w:val="22"/>
          <w:szCs w:val="22"/>
        </w:rPr>
        <w:t xml:space="preserve">ричин отклонения.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2.2.3. При невозможности произвести заправку Исполнитель письменно уведомляет Заказчика не менее чем за 12 часов до обслуживания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2.2.4. В случае несвоевременной подачи заявки (графика) Заказчиком Исполнитель приложит все усили</w:t>
      </w:r>
      <w:r>
        <w:rPr>
          <w:sz w:val="22"/>
          <w:szCs w:val="22"/>
        </w:rPr>
        <w:t xml:space="preserve">я для оказания Услуг, но при этом Заказчик понимает и соглашается с тем, что в таком случае Исполнитель не несет ответственность за своевременность и качество Услуг.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Заправка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2.3.1. Исполнитель оказывает Услуги в соответствии с согласованной </w:t>
      </w:r>
      <w:r>
        <w:rPr>
          <w:sz w:val="22"/>
          <w:szCs w:val="22"/>
        </w:rPr>
        <w:t xml:space="preserve">заявкой (графиком). В отсутствие такового, а также при обслуживании нескольких ВС, Услуги оказываются в порядке очередности, с учетом приоритета ВС, выполняющих полеты по расписанию. В случае прибытия ВС вне согласованного времени Исполнитель приложит все </w:t>
      </w:r>
      <w:r>
        <w:rPr>
          <w:sz w:val="22"/>
          <w:szCs w:val="22"/>
        </w:rPr>
        <w:t xml:space="preserve">возможные усилия для организации обслуживания такого ВС в максимально сжатые сроки.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2.3.2. При осуществлении заправки ВС представителем Заказчика является командир ВС или иное уполномоченное лицо Эксплуатанта.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2.3.3. Заправка ВС осуществляется на о</w:t>
      </w:r>
      <w:r>
        <w:rPr>
          <w:sz w:val="22"/>
          <w:szCs w:val="22"/>
        </w:rPr>
        <w:t xml:space="preserve">сновании заполненного требования по форме №1-ГСМ, подписанного уполномоченным лицом Эксплуатанта, который обязан присутствовать при заправке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2.3.4. Заказчик в лице уполномоченного представителя Эксплуатанта несет исключительную ответственность за р</w:t>
      </w:r>
      <w:r>
        <w:rPr>
          <w:sz w:val="22"/>
          <w:szCs w:val="22"/>
        </w:rPr>
        <w:t xml:space="preserve">аботу со всеми бортовыми переключателями предварительного задания (установления) количества заправляемого Авиатоплива в системы ВС и его распределение по бакам и центровку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2.3.5. В случае пролива Авиатоплива из-за ошибочных расчетов в потребности А</w:t>
      </w:r>
      <w:r>
        <w:rPr>
          <w:sz w:val="22"/>
          <w:szCs w:val="22"/>
        </w:rPr>
        <w:t xml:space="preserve">виатоплива, а также отказа системы автоматики заправки ВС, ответственность несёт Заказчик (уполномоченное лицо Эксплуатанта), в том числе по возмещению расходов на ликвидацию разливов.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Слив Авиатоплива из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2.4.1. В случае необходимости слива А</w:t>
      </w:r>
      <w:r>
        <w:rPr>
          <w:sz w:val="22"/>
          <w:szCs w:val="22"/>
        </w:rPr>
        <w:t xml:space="preserve">виатоплива из ВС Эксплуатанта по письменному требованию Заказчика (в данном случае – уполномоченного представителя Эксплуатанта) при участии уполномоченного представителя Эксплуатанта производится в предоставленные Исполнителем емкости.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2.4.2. В качест</w:t>
      </w:r>
      <w:r>
        <w:rPr>
          <w:sz w:val="22"/>
          <w:szCs w:val="22"/>
        </w:rPr>
        <w:t xml:space="preserve">ве причин слива могут выступать: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2.4.2.1. ошибка представителя экипажа ВС, отвечающего за заправку;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2.4.2.2. изменение маршрута движения ВС;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2.4.2.3. технические причины, не связанные с деятельностью Исполнителя;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2.4.2.4. ошибка вод</w:t>
      </w:r>
      <w:r>
        <w:rPr>
          <w:sz w:val="22"/>
          <w:szCs w:val="22"/>
        </w:rPr>
        <w:t xml:space="preserve">ителя-оператора Исполнителя (его действие/бездействие, повлекшее за собой необходимость слива Авиатоплива)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2.4.2.5. неисправность средств заправки ВС (неисправность средств учета).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2.4.3. В случае если слив Авиатоплива производится по вине Исполн</w:t>
      </w:r>
      <w:r>
        <w:rPr>
          <w:sz w:val="22"/>
          <w:szCs w:val="22"/>
        </w:rPr>
        <w:t xml:space="preserve">ителя (подпункты 2.4.2.4. и 2.4.2.5.), оплата услуг по сливу не производится.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2.4.4. Прием слитого Авиатоплива оформляется приходным ордером, в котором указывается следующая информация: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а) тип и бортовой номер ВС;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б) принадлежность ВС (либо</w:t>
      </w:r>
      <w:r>
        <w:rPr>
          <w:sz w:val="22"/>
          <w:szCs w:val="22"/>
        </w:rPr>
        <w:t xml:space="preserve"> адрес и реквизиты представителя «Заказчика», с кем производится взаиморасчет);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в) наименование и объем (в литрах) слитого авиатоплива;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г) плотность авиатоплива;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д) количество (в килограммах) авиатоплива;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е) наличие ПВК-Ж;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ж) </w:t>
      </w:r>
      <w:r>
        <w:rPr>
          <w:sz w:val="22"/>
          <w:szCs w:val="22"/>
        </w:rPr>
        <w:t xml:space="preserve">дата слива;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з) причина слива;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и) фамилии и должности представителей Заказчика (в данном случае – уполномоченного представителя Эксплуатанта) и Исполнителя.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Приходный ордер составляется в трех экземплярах, каждый из которых заверяется подпис</w:t>
      </w:r>
      <w:r>
        <w:rPr>
          <w:sz w:val="22"/>
          <w:szCs w:val="22"/>
        </w:rPr>
        <w:t>ями полномочных лиц, участвовавших в процессе слива Авиатоплива с ВС. Один экземпляр приходного ордера остается у Исполнителя, второй – у представителя Эксплуатанта, третий - передается Заказчику посредством электронной почты или факсимильной связи с после</w:t>
      </w:r>
      <w:r>
        <w:rPr>
          <w:sz w:val="22"/>
          <w:szCs w:val="22"/>
        </w:rPr>
        <w:t xml:space="preserve">дующим направлением оригинала.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2.4.5. Услуга по сливу Ав</w:t>
      </w:r>
      <w:r>
        <w:rPr>
          <w:sz w:val="22"/>
          <w:szCs w:val="22"/>
        </w:rPr>
        <w:t xml:space="preserve">иатоплива подлежит оплате Заказчиком, за исключением случаев установленной вины Исполнителя (в частности, по причине ошибок персонала и/или неисправности средств заправки, учета Авиатоплива) в порядке, предусмотренном п.3.3 настоящего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2.4.6. </w:t>
      </w:r>
      <w:r>
        <w:rPr>
          <w:sz w:val="22"/>
          <w:szCs w:val="22"/>
        </w:rPr>
        <w:t xml:space="preserve">В случае, если Исполнитель организовал слив Авиатоплива с ВС Заказчика, Исполнитель, если между сторонами не предусмотрено иное, обязуется в полном объеме выкупить у Заказчика слитое авиатопливо и оплатить его по цене и условиям, согласованным в настоящем </w:t>
      </w:r>
      <w:r>
        <w:rPr>
          <w:sz w:val="22"/>
          <w:szCs w:val="22"/>
        </w:rPr>
        <w:t xml:space="preserve">Договоре.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Товарные накладные (по форме ТОРГ-12) на слитое авиатопливо, принятое Исполнителем от Заказчика, оформляются Заказчиком в день слива с датой составления, указанной в Приходном ордере. При этом в строке «Основание» указываются номер и дата При</w:t>
      </w:r>
      <w:r>
        <w:rPr>
          <w:sz w:val="22"/>
          <w:szCs w:val="22"/>
        </w:rPr>
        <w:t xml:space="preserve">ходного ордера. Не позднее 5 (пяти) рабочих дней со дня слива, Заказчик выставляет  счет-фактуру на стоимость слитого авиатоплива.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Исполнитель обязан оплатить стоимость приобретенного слитого Авиатоплива на основании данных, указанных в Приходном ордер</w:t>
      </w:r>
      <w:r>
        <w:rPr>
          <w:sz w:val="22"/>
          <w:szCs w:val="22"/>
        </w:rPr>
        <w:t xml:space="preserve">е, путем перечисления денежных средств на расчетный счет Заказчика.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2.4.7. Оказание услуг, предусмотренных настоящим договором, осуществляется при следующих условиях: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-ВС Заказчика установлено на оборудованное и обозначенное  оператором аэропорта</w:t>
      </w:r>
      <w:r>
        <w:rPr>
          <w:sz w:val="22"/>
          <w:szCs w:val="22"/>
        </w:rPr>
        <w:t xml:space="preserve"> месте стоянки ВС (далее по тексту «МС») в соответствии с разметкой и в обозначенных границах МС;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-МС оборудовано заземляющими устройствами (гнездами заземления) технического средства заправки (далее по тексту – «СЗ») и ВС и/или места расположения по</w:t>
      </w:r>
      <w:r>
        <w:rPr>
          <w:sz w:val="22"/>
          <w:szCs w:val="22"/>
        </w:rPr>
        <w:t xml:space="preserve">следних (гнезд для заземления) очищены от грязи, снега и льда;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-МС освещается в темное время суток;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-имеется место остановки спецтранспорта, от которого должен осуществляться подъезд СЗ к ВС на МС;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-к МС по команде ответственного диспетче</w:t>
      </w:r>
      <w:r>
        <w:rPr>
          <w:sz w:val="22"/>
          <w:szCs w:val="22"/>
        </w:rPr>
        <w:t xml:space="preserve">ра оператора СЗ подъезжает за 15 (пятнадцать) минут до начала выполнения заправки ВС Авиатопливом (по Технологическому графику обслуживания ВС);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-руководство подъездом СЗ к ВС в границах МС осуществляют лица, имеющие соответствующее удостоверение на </w:t>
      </w:r>
      <w:r>
        <w:rPr>
          <w:sz w:val="22"/>
          <w:szCs w:val="22"/>
        </w:rPr>
        <w:t xml:space="preserve">право руководством подъездом (отъездом) СЗ к ВС, выданное Главным оператором аэропорта;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-ВС имеет технически исправный приемный штуцер заправки Авиатопливом, обеспечивающий нормальную скорость заправки. При заправке ВС на МС время заправки определяет</w:t>
      </w:r>
      <w:r>
        <w:rPr>
          <w:sz w:val="22"/>
          <w:szCs w:val="22"/>
        </w:rPr>
        <w:t>ся требуемым объемом заправки, производительностью СЗ и техническим состоянием приемного штуцера воздушного судна, обеспечивающим нормальную (не менее 700 литров в минуту) скорость заправки. В случаях, когда приемный штуцер не обеспечивает нормальную скоро</w:t>
      </w:r>
      <w:r>
        <w:rPr>
          <w:sz w:val="22"/>
          <w:szCs w:val="22"/>
        </w:rPr>
        <w:t xml:space="preserve">сть заправки и в силу этого время заправки затребованного количества топлива объективно превышает период, предусмотренный для данного типа ВС технологическим графиком оператора аэропорта, ответственность за задержку готовности ВС к полету и все негативные </w:t>
      </w:r>
      <w:r>
        <w:rPr>
          <w:sz w:val="22"/>
          <w:szCs w:val="22"/>
        </w:rPr>
        <w:t xml:space="preserve">последствия возлагается на Покупателя.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-В случае отсутствия перечисленных условий Заказчику может быть отказано в услуге по заправке Авиатоплива до того момента, пока Заказчик не решит с Главным оператором аэропорта вопрос об обеспечении приемлемых и</w:t>
      </w:r>
      <w:r>
        <w:rPr>
          <w:sz w:val="22"/>
          <w:szCs w:val="22"/>
        </w:rPr>
        <w:t xml:space="preserve"> безопасных условий для заправки поставки ВС Покупателя Авиатопливом на данной стоянке либо на другой стоянке в аэропорту оператора аэропорта. При этом задержка в обслуживании поставке и/или задержка вылета ВС относится на Заказчика как не обеспечившего на</w:t>
      </w:r>
      <w:r>
        <w:rPr>
          <w:sz w:val="22"/>
          <w:szCs w:val="22"/>
        </w:rPr>
        <w:t xml:space="preserve">длежащие условия для ее выполнения безопасного обслуживания своего ВС в аэропорту оператора аэропорта.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3. ПОРЯДОК РАСЧЕТОВ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Стоимость Услуг по обеспечению заправки ВС Авиатопливом, оказываемых Исполнителем по Договору, составляет: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B3F6B">
        <w:rPr>
          <w:sz w:val="22"/>
          <w:szCs w:val="22"/>
        </w:rPr>
        <w:t>2 029,20</w:t>
      </w:r>
      <w:r>
        <w:rPr>
          <w:sz w:val="22"/>
          <w:szCs w:val="22"/>
        </w:rPr>
        <w:t xml:space="preserve"> (</w:t>
      </w:r>
      <w:r w:rsidR="006B3F6B">
        <w:rPr>
          <w:sz w:val="22"/>
          <w:szCs w:val="22"/>
        </w:rPr>
        <w:t xml:space="preserve">Две </w:t>
      </w:r>
      <w:r>
        <w:rPr>
          <w:sz w:val="22"/>
          <w:szCs w:val="22"/>
        </w:rPr>
        <w:t>тысяч</w:t>
      </w:r>
      <w:r w:rsidR="006B3F6B">
        <w:rPr>
          <w:sz w:val="22"/>
          <w:szCs w:val="22"/>
        </w:rPr>
        <w:t>и</w:t>
      </w:r>
      <w:r>
        <w:rPr>
          <w:sz w:val="22"/>
          <w:szCs w:val="22"/>
        </w:rPr>
        <w:t xml:space="preserve"> дв</w:t>
      </w:r>
      <w:r w:rsidR="006B3F6B">
        <w:rPr>
          <w:sz w:val="22"/>
          <w:szCs w:val="22"/>
        </w:rPr>
        <w:t>адцать девять</w:t>
      </w:r>
      <w:r>
        <w:rPr>
          <w:sz w:val="22"/>
          <w:szCs w:val="22"/>
        </w:rPr>
        <w:t xml:space="preserve">) рублей </w:t>
      </w:r>
      <w:r w:rsidR="006B3F6B">
        <w:rPr>
          <w:sz w:val="22"/>
          <w:szCs w:val="22"/>
        </w:rPr>
        <w:t>2</w:t>
      </w:r>
      <w:r>
        <w:rPr>
          <w:sz w:val="22"/>
          <w:szCs w:val="22"/>
        </w:rPr>
        <w:t xml:space="preserve">0 копеек рублей за одну тонну Авиатоплива, заправленного в ВС Эксплуатанта, в том числе НДС 20% - </w:t>
      </w:r>
      <w:r w:rsidR="006B3F6B">
        <w:rPr>
          <w:sz w:val="22"/>
          <w:szCs w:val="22"/>
        </w:rPr>
        <w:t>338,20</w:t>
      </w:r>
      <w:r>
        <w:rPr>
          <w:sz w:val="22"/>
          <w:szCs w:val="22"/>
        </w:rPr>
        <w:t xml:space="preserve"> (</w:t>
      </w:r>
      <w:r w:rsidR="006B3F6B">
        <w:rPr>
          <w:sz w:val="22"/>
          <w:szCs w:val="22"/>
        </w:rPr>
        <w:t>Триста тридцать восемь</w:t>
      </w:r>
      <w:r>
        <w:rPr>
          <w:sz w:val="22"/>
          <w:szCs w:val="22"/>
        </w:rPr>
        <w:t xml:space="preserve">) рублей </w:t>
      </w:r>
      <w:r w:rsidR="006B3F6B">
        <w:rPr>
          <w:sz w:val="22"/>
          <w:szCs w:val="22"/>
        </w:rPr>
        <w:t>2</w:t>
      </w:r>
      <w:r>
        <w:rPr>
          <w:sz w:val="22"/>
          <w:szCs w:val="22"/>
        </w:rPr>
        <w:t xml:space="preserve">0 копеек.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Стоимость услуг по заправке ВС авиатопливом зарегистрирована Исполнителем в ЦРТ ТПК. Исполнител</w:t>
      </w:r>
      <w:r>
        <w:rPr>
          <w:sz w:val="22"/>
          <w:szCs w:val="22"/>
        </w:rPr>
        <w:t>ь уведомляет Заказчика о том, что он включен в реестр субъектов естественных монополий на транспорте в разделе II «Услуги аэропортов» на основании Приказа ФАС России № 1243/21 от 10.11.2021, и на момент заключения Договора ведет работу, направленную на уст</w:t>
      </w:r>
      <w:r>
        <w:rPr>
          <w:sz w:val="22"/>
          <w:szCs w:val="22"/>
        </w:rPr>
        <w:t>ановление тарифа на заправку воздушных судов авиационным топливом Министерством строительства, жилищно-коммунального хозяйства и энергетики Удмуртской Республики. Цена оказываемых услуг может быть изменена Исполнителем в одностороннем порядке в случаях, пр</w:t>
      </w:r>
      <w:r>
        <w:rPr>
          <w:sz w:val="22"/>
          <w:szCs w:val="22"/>
        </w:rPr>
        <w:t xml:space="preserve">едусмотренных действующим законодательством/изменения тарифа за услугу по обеспечению заправки воздушного судна со стороны компетентного государственного органа. В таком случае Исполнитель осуществляет регистрацию тарифа в ЦРТ ТПК в порядке, установленном </w:t>
      </w:r>
      <w:r>
        <w:rPr>
          <w:sz w:val="22"/>
          <w:szCs w:val="22"/>
        </w:rPr>
        <w:t xml:space="preserve">законодательством Российской Федерации, и стороны применяют указанный тариф с даты такой регистрации.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Дополнительного согласования с Заказчиком и/или подписания дополнительных соглашений не требуется.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3.2. Стоимость услуг по сливу Авиатоплива из ВС оп</w:t>
      </w:r>
      <w:r>
        <w:rPr>
          <w:sz w:val="22"/>
          <w:szCs w:val="22"/>
        </w:rPr>
        <w:t>ределяется исходя из тарифа по прайс-листу, утвержденному Исполнителем и действующему на момент оказания таких услуг. Оплата услуг Исполнителя производится Заказчиком путем перечисления денежных средств на расчетный счет Исполнителя по факту предоставления</w:t>
      </w:r>
      <w:r>
        <w:rPr>
          <w:sz w:val="22"/>
          <w:szCs w:val="22"/>
        </w:rPr>
        <w:t xml:space="preserve"> услуг на основании УПД (универсального передаточного документа) в течение 5 (пяти) рабочих дней с момента получения УПД в системе электронного документооборота (ЭДО), либо с момента получения  Исполнителем указанных  документов на бумажном носителе, в слу</w:t>
      </w:r>
      <w:r>
        <w:rPr>
          <w:sz w:val="22"/>
          <w:szCs w:val="22"/>
        </w:rPr>
        <w:t xml:space="preserve">чае отсутствия у сторон технической возможности  обмениваться документами в ЭДО или соглашения о применении ЭДО.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3.3. Стороны договорились, что в случае, предусмотренном п.2.4.6 настоящего договора, цена выкупаемого слитого авиатоплива равна стоимости ави</w:t>
      </w:r>
      <w:r>
        <w:rPr>
          <w:sz w:val="22"/>
          <w:szCs w:val="22"/>
        </w:rPr>
        <w:t xml:space="preserve">атоплива на момент слива в аэропорту Ижевск минус 25 %.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Оплата услуг Исполнителя производится Заказчиком путем перечисления денежных средств на расчетный счет Исполнителя в следующем порядке: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 факту предоставления услуг на основании УПД (универ</w:t>
      </w:r>
      <w:r>
        <w:rPr>
          <w:sz w:val="22"/>
          <w:szCs w:val="22"/>
        </w:rPr>
        <w:t>сального передаточного документа) в течение 10 (десяти) рабочих дней с момента получения УПД в системе электронного документооборота (ЭДО), либо с момента получения  Исполнителем указанных  документов на бумажном носителе, в случае отсутствия у сторон техн</w:t>
      </w:r>
      <w:r>
        <w:rPr>
          <w:sz w:val="22"/>
          <w:szCs w:val="22"/>
        </w:rPr>
        <w:t xml:space="preserve">ической возможности  обмениваться документами в ЭДО или соглашения о применении ЭДО.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Обязательство по оплате считается исполненным Заказчиком с момента поступления денежных средств на расчетный счет Исполнителя.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3.6. Исполнитель оформляет и направля</w:t>
      </w:r>
      <w:r>
        <w:rPr>
          <w:sz w:val="22"/>
          <w:szCs w:val="22"/>
        </w:rPr>
        <w:t>ет Заказчику УПД на оказанные услуги за отчётный период. Под УПД стороны понимают универсальный передаточный документ  со статусом «1» (далее – УПД) в формате электронного документа, утвержденного Приказом ФНС России от 19.12.2018 N ММВ-7-15/820@ "Об утвер</w:t>
      </w:r>
      <w:r>
        <w:rPr>
          <w:sz w:val="22"/>
          <w:szCs w:val="22"/>
        </w:rPr>
        <w:t>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</w:t>
      </w:r>
      <w:r>
        <w:rPr>
          <w:sz w:val="22"/>
          <w:szCs w:val="22"/>
        </w:rPr>
        <w:t>нии работ), передаче имущественных прав (документа об оказании услуг) в электронной форме". УПД применяется Сторонами в качестве единого документа для целей бухгалтерского учета и налогообложения, в том числе для подтверждения права на вычет по НДС и подтв</w:t>
      </w:r>
      <w:r>
        <w:rPr>
          <w:sz w:val="22"/>
          <w:szCs w:val="22"/>
        </w:rPr>
        <w:t>ерждения расходов по налогу на прибыль организаций, при условии, что такой документ оформлен в соответствии с требованиями ст. 9 Федерального закона от 06.12.2011 № 402-ФЗ "О бухгалтерском учете", ст. 169 НК РФ, Постановления Правительства РФ от 26.12.2011</w:t>
      </w:r>
      <w:r>
        <w:rPr>
          <w:sz w:val="22"/>
          <w:szCs w:val="22"/>
        </w:rPr>
        <w:t xml:space="preserve"> № 1137 "О формах и правилах заполнения (ведения) документов, применяемых при расчетах по налогу на добавленную стоимость", с учетом рекомендаций ФНС России.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Под Отчетным периодом по  оказанным услугам  по заправке ВС Стороны понимают период: с 1 по 5 чис</w:t>
      </w:r>
      <w:r>
        <w:rPr>
          <w:sz w:val="22"/>
          <w:szCs w:val="22"/>
        </w:rPr>
        <w:t xml:space="preserve">ло включительно, с 6 по 10 число включительно, с 11 по 15 число включительно, с 16 по 20 число включительно, с 21 по 25 число включительно, с 26 по последнее число включительно каждого месяца.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Исполнитель составляет УПД и направляет его Заказчику не по</w:t>
      </w:r>
      <w:r>
        <w:rPr>
          <w:sz w:val="22"/>
          <w:szCs w:val="22"/>
        </w:rPr>
        <w:t xml:space="preserve">зднее 5 (пяти) дней после окончания  соответствующего отчетного периода.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Заказчик подписывает УПД   в течение 5 (пяти) рабочих дней с момента их получения.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УПД является первичным учетным документом, подтверждающим   оказание услуг по обеспечению заправки ВС авиатопливом 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Документы направляются Заказчику любым из следующих способов: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1) посредством электронной почты (e-mail Заказчика: ____________</w:t>
      </w:r>
      <w:r>
        <w:rPr>
          <w:sz w:val="22"/>
          <w:szCs w:val="22"/>
        </w:rPr>
        <w:t xml:space="preserve">________________) с последующим предоставлением оригиналов по почте, через представителя Заказчика;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2) посредством телекоммуникационных каналов связи (электронного документооборота) при наличии соответствующего отдельного соглашения между сторонами о п</w:t>
      </w:r>
      <w:r>
        <w:rPr>
          <w:sz w:val="22"/>
          <w:szCs w:val="22"/>
        </w:rPr>
        <w:t xml:space="preserve">рименении электронного документооборота.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3.8. В случае наличия задолженности, образовавшейся в результате несвоевременной оплаты услуг Заказчиком, при поступлении очередного платежа Исполнитель направляет его в первую очередь в счет погашения задолженност</w:t>
      </w:r>
      <w:r>
        <w:rPr>
          <w:sz w:val="22"/>
          <w:szCs w:val="22"/>
        </w:rPr>
        <w:t xml:space="preserve">и, оставшиеся средства – в счет текущих платежей.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3.9. Сверка расчетов может быть произведена в любое время по инициативе любой из Сторон, которая составляет акт сверки на основании данных сверяющей Стороны и направляет с уведомлением другой Стороне. Стор</w:t>
      </w:r>
      <w:r>
        <w:rPr>
          <w:sz w:val="22"/>
          <w:szCs w:val="22"/>
        </w:rPr>
        <w:t xml:space="preserve">она, получившая акт сверки, осуществляет сверку, подписывает акт сверки/подписывает с разногласиями и направляет его в адрес другой стороны в порядке, предусмотренном п.3.7. настоящего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3.10. Истечение срока действия или расторжение Договора не о</w:t>
      </w:r>
      <w:r>
        <w:rPr>
          <w:sz w:val="22"/>
          <w:szCs w:val="22"/>
        </w:rPr>
        <w:t xml:space="preserve">тменяет неисполненные денежные обязательства Сторон друг перед другом.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3.11. В случае прекращения действия Договора (по любым основаниям) Стороны обязуются в течение месяца после прекращения его действия произвести все расчеты и сверки.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4. ОТВЕТС</w:t>
      </w:r>
      <w:r>
        <w:rPr>
          <w:b/>
          <w:bCs/>
          <w:sz w:val="22"/>
          <w:szCs w:val="22"/>
        </w:rPr>
        <w:t xml:space="preserve">ТВЕННОСТЬ СТОРОН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 и условиями настоящего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4.2. Исполнитель несет имуществен</w:t>
      </w:r>
      <w:r>
        <w:rPr>
          <w:sz w:val="22"/>
          <w:szCs w:val="22"/>
        </w:rPr>
        <w:t xml:space="preserve">ную ответственность в размере возмещения Заказчику документально подтвержденных расходов (реальный ущерб):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а) за невозможность организовать заправку из-за неисправности топливо-заправочного оборудования (техники),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б) за повреждение ВС заправочным о</w:t>
      </w:r>
      <w:r>
        <w:rPr>
          <w:sz w:val="22"/>
          <w:szCs w:val="22"/>
        </w:rPr>
        <w:t xml:space="preserve">борудованием (техникой) при осуществлении заправки,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в) за задержку рейсов ВС, обслуживание которых производится по заявке Заказчика, если причиной задержки явилась несвоевременное осуществление заправки ВС по вине Исполнителя;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 случаях, указанных </w:t>
      </w:r>
      <w:r>
        <w:rPr>
          <w:sz w:val="22"/>
          <w:szCs w:val="22"/>
        </w:rPr>
        <w:t xml:space="preserve">в данном пункте виновность Исполнителя должна быть доказана.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Стороны согласились, что  подтверждением факта задержки рейса ВС Заказчика по вине Исполнителя является нарушение Исполнителем сроков заправки, предусмотренных технологическим графиком обслуж</w:t>
      </w:r>
      <w:r>
        <w:rPr>
          <w:sz w:val="22"/>
          <w:szCs w:val="22"/>
        </w:rPr>
        <w:t>ивания ВС (далее – ТГО). В случае несогласия Исполнителя с выводами относительно причины задержки рейса, по данному факту проводится расследование причин задержки отправления ВС с участием уполномоченных представителей Заказчика и Исполнителя. Срок расслед</w:t>
      </w:r>
      <w:r>
        <w:rPr>
          <w:sz w:val="22"/>
          <w:szCs w:val="22"/>
        </w:rPr>
        <w:t>ования причин задержки отправления ВС не должен превышать 15 (пятнадцать) календарных дней, с даты задержки рейса, подтвержденной Аэропортом «Ижевск». По окончании расследования составляется Акт расследования, который подписывается уполномоченными представ</w:t>
      </w:r>
      <w:r>
        <w:rPr>
          <w:sz w:val="22"/>
          <w:szCs w:val="22"/>
        </w:rPr>
        <w:t xml:space="preserve">ителями Заказчика и Исполнителя.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4.3. Заказчик несёт ответственность за своевременную и полную оплату всех услуг, оказываемых по Договору Исполнителем. При отсутствии своевременной оплаты в соответствии с Договором Исполнитель вправе прекратить оказание у</w:t>
      </w:r>
      <w:r>
        <w:rPr>
          <w:sz w:val="22"/>
          <w:szCs w:val="22"/>
        </w:rPr>
        <w:t xml:space="preserve">слуг, предварительно, не позднее 2 (двух) рабочих дней, уведомив об этом Заказчика по электронной почте с последующим направлением оригиналов в адрес Заказчика.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4.4. За несвоевременное исполнение обязательств по оплате Заказчиком, Исполнитель вправе взыск</w:t>
      </w:r>
      <w:r>
        <w:rPr>
          <w:sz w:val="22"/>
          <w:szCs w:val="22"/>
        </w:rPr>
        <w:t xml:space="preserve">ать пени в размере 0,12% от неоплаченной суммы за каждый день просрочки.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4.5.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 непреодол</w:t>
      </w:r>
      <w:r>
        <w:rPr>
          <w:sz w:val="22"/>
          <w:szCs w:val="22"/>
        </w:rPr>
        <w:t>имой силы, к которым, в частности, относятся стихийные бедствия, военные действия или введение чрезвычайного положения, акты террора, массовые беспорядки, принятие нормативных актов или иные действия государственных органов, препятствующие исполнению Сторо</w:t>
      </w:r>
      <w:r>
        <w:rPr>
          <w:sz w:val="22"/>
          <w:szCs w:val="22"/>
        </w:rPr>
        <w:t>нами своих обязательств по Договору, или иные обстоятельства, находящиеся вне разумного контроля Сторон. О наступлении таких обстоятельств Стороны уведомляют друг друга незамедлительно любым доступным способом связи (но не позднее 3 (трех) рабочих дней с м</w:t>
      </w:r>
      <w:r>
        <w:rPr>
          <w:sz w:val="22"/>
          <w:szCs w:val="22"/>
        </w:rPr>
        <w:t>омента наступления), с последующим представлением заключения соответствующей компетентной организации (органа). В случае неуведомления о наступлении обстоятельств непреодолимой силы, указанные обстоятельства не принимаются другой Стороной во внимание и Сто</w:t>
      </w:r>
      <w:r>
        <w:rPr>
          <w:sz w:val="22"/>
          <w:szCs w:val="22"/>
        </w:rPr>
        <w:t xml:space="preserve">роны не освобождаются от ответственности за неисполнение своих обязательств по Договору.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</w:t>
      </w:r>
      <w:r>
        <w:rPr>
          <w:sz w:val="22"/>
          <w:szCs w:val="22"/>
        </w:rPr>
        <w:t xml:space="preserve">вие у должника необходимых денежных средств.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5. СРОК ДЕЙСТВИЯ ДОГОВОРА, ПОРЯДОК ЕГО ИЗМЕНЕНИЯ И РАСТОРЖЕНИЯ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Договор вступает в силу с момента его подписания Сторонами и действует по __________________ г.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5.2. По окончании срока действия Дог</w:t>
      </w:r>
      <w:r>
        <w:rPr>
          <w:sz w:val="22"/>
          <w:szCs w:val="22"/>
        </w:rPr>
        <w:t xml:space="preserve">овор считается заключенным на каждый последующий календарный год, если не менее чем за 30 (тридцать) календарных дней до окончания срока действия договора ни одна из Сторон не заявит о его прекращении, изменении, либо о заключении нового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5.3. До</w:t>
      </w:r>
      <w:r>
        <w:rPr>
          <w:sz w:val="22"/>
          <w:szCs w:val="22"/>
        </w:rPr>
        <w:t xml:space="preserve">говор может быть изменен или расторгнут по взаимному согласию Исполнителя и Заказчика или по иным основаниям, предусмотренным действующим законодательством.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5.4. Все изменения, дополнения и соглашения к Договору имеют силу, если они совершены в письменной</w:t>
      </w:r>
      <w:r>
        <w:rPr>
          <w:sz w:val="22"/>
          <w:szCs w:val="22"/>
        </w:rPr>
        <w:t xml:space="preserve"> форме и подписаны уполномоченными представителями Сторон, за исключением случаев, указанных в Договоре.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имеет право в одностороннем внесудебном порядке отказаться от исполнения Договора в случаях: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5.5.1. несвоевременной оплаты Заказчиком оказанных услуг 2 (два) и более раза в течение срока действия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5.5.2. если Заказчик в течение 1 (одного) месяца не пользуется Услугами Исполнителя по обеспечению заправки Авиатопливом ВС.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5.6. Заказ</w:t>
      </w:r>
      <w:r>
        <w:rPr>
          <w:sz w:val="22"/>
          <w:szCs w:val="22"/>
        </w:rPr>
        <w:t xml:space="preserve">чик имеет право в одностороннем внесудебном порядке отказаться от исполнения Договора в случае документально подтвержденного ненадлежащего выполнения Исполнителем своих обязанностей по Договору 2 (два) и более раза в течение срока действия Договора.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</w:t>
      </w:r>
      <w:r>
        <w:rPr>
          <w:sz w:val="22"/>
          <w:szCs w:val="22"/>
        </w:rPr>
        <w:t>При отказе Стороны от исполнения Договора в случаях, указанных в п.5.5. и п.5.6., Договор считается расторгнутым с момента вручения другой Стороне письменного отказа от исполнения Договора, если в уведомлении не указано иное. Отказ направляется посредством</w:t>
      </w:r>
      <w:r>
        <w:rPr>
          <w:sz w:val="22"/>
          <w:szCs w:val="22"/>
        </w:rPr>
        <w:t xml:space="preserve"> заказного почтового отправления и считается полученным виновной Стороной по истечении 14 (четырнадцати) календарных дней с даты его направления.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6. РАЗРЕШЕНИЕ СПОРОВ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возникшие между Сторонами в ходе исполнения Догов</w:t>
      </w:r>
      <w:r>
        <w:rPr>
          <w:sz w:val="22"/>
          <w:szCs w:val="22"/>
        </w:rPr>
        <w:t>ора, решаются в претензионном порядке. К претензии должны быть приложены документы,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</w:t>
      </w:r>
      <w:r>
        <w:rPr>
          <w:sz w:val="22"/>
          <w:szCs w:val="22"/>
        </w:rPr>
        <w:t xml:space="preserve">редъявлении претензии о возмещении ущерба – документальные подтверждения факта и размера причиненного ущерба. Письменный ответ по результатам рассмотрения претензии направляется Стороне, предъявившей претензию, в срок, не превышающий – 10 (десять) рабочих </w:t>
      </w:r>
      <w:r>
        <w:rPr>
          <w:sz w:val="22"/>
          <w:szCs w:val="22"/>
        </w:rPr>
        <w:t xml:space="preserve">дней с момента ее получения.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В случае неполучения ответа в указанный выше срок и/или недостижения согласия спорные вопросы передаются на рассмотрение Арбитражного суда Удмуртской Республики.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7. ПРОЧИЕ УСЛОВИЯ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После подписания Договора </w:t>
      </w:r>
      <w:r>
        <w:rPr>
          <w:sz w:val="22"/>
          <w:szCs w:val="22"/>
        </w:rPr>
        <w:t xml:space="preserve">все предварительные переговоры по нему, переписка, предварительные соглашения и протоколы о намерениях по вопросам, так или иначе, касающимся Договора, теряют юридическую силу.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7.2. По всем вопросам, неурегулированным договором, Стороны руководствуются де</w:t>
      </w:r>
      <w:r>
        <w:rPr>
          <w:sz w:val="22"/>
          <w:szCs w:val="22"/>
        </w:rPr>
        <w:t xml:space="preserve">йствующим законодательством РФ.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Уведомления, требования и иные документы, связанные с Договором, должны направляться сторонами любым из следующих способов: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  <w:t>нарочным (курьерской доставкой), включая получение представителем Стороны. Факт получени</w:t>
      </w:r>
      <w:r>
        <w:rPr>
          <w:sz w:val="22"/>
          <w:szCs w:val="22"/>
        </w:rPr>
        <w:t xml:space="preserve">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  <w:t xml:space="preserve">заказным письмом с уведомлением о вручении;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ab/>
        <w:t xml:space="preserve">по электронной почте.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полученные посредством электронной связи, имеют юридическую силу при условии их надлежащего подтверждения оригиналами в течение 10 (десяти) рабочих дней.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7.4. Корреспонденция направляется по адресам, указанным в Догово</w:t>
      </w:r>
      <w:r>
        <w:rPr>
          <w:sz w:val="22"/>
          <w:szCs w:val="22"/>
        </w:rPr>
        <w:t xml:space="preserve">ре либо соответствующих Дополнительных соглашениях. При этом корреспонденция (сообщение) считается доставленной (полученной адресатом):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при направлении посредством электронной почты – с момента отправления сообщения,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при направлении посредством</w:t>
      </w:r>
      <w:r>
        <w:rPr>
          <w:sz w:val="22"/>
          <w:szCs w:val="22"/>
        </w:rPr>
        <w:t xml:space="preserve"> почтовой связи – по истечении 14 (четырнадцати) календарных дней с даты отправления (согласно почтовой квитанции отправителя),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в случае личного получения корреспонденции представителем Стороны - с даты, указанной получателем в экземпляре отправителя</w:t>
      </w:r>
      <w:r>
        <w:rPr>
          <w:sz w:val="22"/>
          <w:szCs w:val="22"/>
        </w:rPr>
        <w:t xml:space="preserve">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Корреспонденция считается доставленной также в том случае, если она поступила Стороне-получателю, но по обстоятельствам, зависящим от Стороны-получателя, не была ей вручена или Сторона-получатель не ознакомилась с ней.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Стороны обязаны в течение 5 </w:t>
      </w:r>
      <w:r>
        <w:rPr>
          <w:sz w:val="22"/>
          <w:szCs w:val="22"/>
        </w:rPr>
        <w:t>(пяти) рабочих дней письменно уведомить друг друга об изменениях наименования, юридического (почтового) адреса, банковских реквизитов, либо о других причинах, требующих внесения изменений в Договор. При неисполнении этой обязанности вся корреспонденция, на</w:t>
      </w:r>
      <w:r>
        <w:rPr>
          <w:sz w:val="22"/>
          <w:szCs w:val="22"/>
        </w:rPr>
        <w:t xml:space="preserve">правленная по адресу, указанному в Договоре, считается полученной.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7.6. Неполучение корреспонденции либо несвоевременное получение корреспонденции при несоблюдении условий п.7.5. не освобождает Стороны от выполнения обязательств, предусмотренных Договором</w:t>
      </w:r>
      <w:r>
        <w:rPr>
          <w:sz w:val="22"/>
          <w:szCs w:val="22"/>
        </w:rPr>
        <w:t xml:space="preserve">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7.7. Ни одна из Сторон настоящего Договора не должна раскрывать информацию, содержащуюся в Договоре или Приложениях к Договору, третьим лицам без предварительного согласия другой Стороны, за исключением случаев представления информации уполномоченным на</w:t>
      </w:r>
      <w:r>
        <w:rPr>
          <w:sz w:val="22"/>
          <w:szCs w:val="22"/>
        </w:rPr>
        <w:t xml:space="preserve"> ее получение органам и должностным лицам, предусмотренных действующим законодательством Российской Федерации. </w:t>
      </w:r>
    </w:p>
    <w:p w:rsidR="00000000" w:rsidRDefault="000C56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7.8. Договор составлен в двух идентичных экземплярах, имеющих одинаковую юридическую силу, по одному для каждой из Сторон. </w:t>
      </w:r>
    </w:p>
    <w:p w:rsidR="00000000" w:rsidRDefault="000C56C8">
      <w:pPr>
        <w:widowControl/>
        <w:jc w:val="both"/>
        <w:rPr>
          <w:sz w:val="22"/>
          <w:szCs w:val="22"/>
        </w:rPr>
      </w:pPr>
    </w:p>
    <w:p w:rsidR="00000000" w:rsidRDefault="000C56C8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Статья 8. АДРЕСА, П</w:t>
      </w:r>
      <w:r>
        <w:rPr>
          <w:b/>
          <w:bCs/>
          <w:sz w:val="22"/>
          <w:szCs w:val="22"/>
        </w:rPr>
        <w:t xml:space="preserve">ЛАТЕЖНЫЕ РЕКВИЗИТЫ И ПОДПИСИ СТОРОН: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Заказчик: </w:t>
            </w: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ООО «Топливно-заправочный комплекс «Крылатский»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</w:t>
            </w:r>
            <w:r>
              <w:rPr>
                <w:sz w:val="22"/>
                <w:szCs w:val="22"/>
              </w:rPr>
              <w:t xml:space="preserve">ахождение: 426069, Республика Удмуртская, город Ижевск, улица Песочная, дом 11, офис 1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1831174103/183101001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1151831003675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40702810328000002238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Удмуртский РФ АО "Россельхозбанк" г. Ижевск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30101810100000000710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049401710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tzk.neftebaza@gmail.com </w:t>
            </w:r>
          </w:p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(3412) 905-100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00000" w:rsidRDefault="000C56C8">
      <w:pPr>
        <w:widowControl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283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Сентемов С.В.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gridSpan w:val="0"/>
          </w:tcPr>
          <w:p w:rsidR="00000000" w:rsidRDefault="000C56C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00000" w:rsidRDefault="000C56C8">
      <w:pPr>
        <w:widowControl/>
        <w:jc w:val="both"/>
        <w:rPr>
          <w:sz w:val="22"/>
          <w:szCs w:val="22"/>
        </w:rPr>
      </w:pPr>
    </w:p>
    <w:sectPr w:rsidR="00000000">
      <w:footerReference w:type="default" r:id="rId6"/>
      <w:pgSz w:w="11907" w:h="16840"/>
      <w:pgMar w:top="567" w:right="567" w:bottom="567" w:left="1134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56C8">
      <w:r>
        <w:separator/>
      </w:r>
    </w:p>
  </w:endnote>
  <w:endnote w:type="continuationSeparator" w:id="0">
    <w:p w:rsidR="00000000" w:rsidRDefault="000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6C8">
    <w:pPr>
      <w:pStyle w:val="a5"/>
      <w:framePr w:wrap="auto" w:vAnchor="text" w:hAnchor="margin" w:xAlign="right" w:y="1"/>
      <w:tabs>
        <w:tab w:val="clear" w:pos="4153"/>
      </w:tabs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Wingdings" w:hAnsi="Wingdings" w:cs="Wingdings"/>
      </w:rPr>
      <w:t></w:t>
    </w:r>
    <w:r>
      <w:rPr>
        <w:rFonts w:ascii="Wingdings" w:hAnsi="Wingdings" w:cs="Wingdings"/>
      </w:rPr>
      <w:t></w:t>
    </w:r>
    <w:r>
      <w:rPr>
        <w:rFonts w:ascii="Wingdings" w:hAnsi="Wingdings" w:cs="Wingdings"/>
      </w:rPr>
      <w:t></w:t>
    </w:r>
    <w:r>
      <w:rPr>
        <w:rFonts w:ascii="Wingdings" w:hAnsi="Wingdings" w:cs="Wingdings"/>
      </w:rPr>
      <w:t></w:t>
    </w:r>
    <w:r>
      <w:rPr>
        <w:rFonts w:ascii="Wingdings" w:hAnsi="Wingdings" w:cs="Wingdings"/>
      </w:rPr>
      <w:t></w:t>
    </w:r>
  </w:p>
  <w:p w:rsidR="00000000" w:rsidRDefault="000C56C8">
    <w:pPr>
      <w:tabs>
        <w:tab w:val="left" w:pos="9940"/>
      </w:tabs>
      <w:ind w:right="360" w:firstLine="360"/>
      <w:rPr>
        <w:sz w:val="22"/>
        <w:szCs w:val="22"/>
      </w:rPr>
    </w:pP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56C8">
      <w:r>
        <w:separator/>
      </w:r>
    </w:p>
  </w:footnote>
  <w:footnote w:type="continuationSeparator" w:id="0">
    <w:p w:rsidR="00000000" w:rsidRDefault="000C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B"/>
    <w:rsid w:val="000C56C8"/>
    <w:rsid w:val="006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B0C6"/>
  <w14:defaultImageDpi w14:val="0"/>
  <w15:docId w15:val="{B2010744-471B-4549-B531-3597C81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 Сергей Иванович</dc:creator>
  <cp:keywords/>
  <dc:description/>
  <cp:lastModifiedBy>Коротаев Сергей Иванович</cp:lastModifiedBy>
  <cp:revision>2</cp:revision>
  <dcterms:created xsi:type="dcterms:W3CDTF">2023-05-22T13:17:00Z</dcterms:created>
  <dcterms:modified xsi:type="dcterms:W3CDTF">2023-05-22T13:17:00Z</dcterms:modified>
</cp:coreProperties>
</file>